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0" w:colFirst="0" w:name="h.8khbz21xy7zg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1" w:colFirst="0" w:name="h.nnr6hn5ub0z2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5/20/14 8:18pm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tblStyle w:val="KixTable1"/>
        <w:bidiVisual w:val="0"/>
        <w:tblW w:w="9120.0" w:type="dxa"/>
        <w:jc w:val="left"/>
        <w:tblLayout w:type="fixed"/>
        <w:tblLook w:val="0600"/>
      </w:tblPr>
      <w:tblGrid>
        <w:gridCol w:w="2280"/>
        <w:gridCol w:w="2280"/>
        <w:gridCol w:w="2265"/>
        <w:gridCol w:w="2295"/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 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 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 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Audrey Ronningen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1800.0" w:type="dxa"/>
        <w:jc w:val="left"/>
        <w:tblLayout w:type="fixed"/>
        <w:tblLook w:val="0600"/>
      </w:tblPr>
      <w:tblGrid>
        <w:gridCol w:w="450"/>
        <w:gridCol w:w="450"/>
        <w:gridCol w:w="450"/>
        <w:gridCol w:w="450"/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Cheyenne, pay George; Marisela, pay Distribution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T-shirts, ad invoices </w:t>
      </w:r>
    </w:p>
    <w:p w:rsidP="00000000" w:rsidRPr="00000000" w:rsidR="00000000" w:rsidDel="00000000" w:rsidRDefault="00000000">
      <w:pPr>
        <w:ind w:firstLine="720"/>
        <w:contextualSpacing w:val="0"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getting George a gift/card; ethics/principle/guideline nonsense present to Senate (Cheyenne, Parisa, Marissa, Monica, Matt); transitioning chairs/ed board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nada (OSL Give sale)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Beat Reporter Reports: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Moore (poverty in IV)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B-6. Website Reports: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Rob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I’ll yell at him (photo issues; web transition, permissions for web editor)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B-7.</w:t>
        <w:tab/>
        <w:t xml:space="preserve">Promotions Report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Audrey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absent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Guidelines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Finish this nonsense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take to LRC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Parisa (LRC)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 to Approve: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unanimous (5/13)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2014-2015 Ed Board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 quarter Beat reporter, Layout, Distribution Director, Web Manager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Content Review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Pretty paper is pretty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9:02pm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socialimprints.com/items/2686-pc55-port-company-50-50-cotton-poly-t-shirt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 Agenda.docx</dc:title>
</cp:coreProperties>
</file>