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0" w:colFirst="0" w:name="h.2qqayffvd1rk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1" w:colFirst="0" w:name="h.3caibjrwrc0l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4/29/14 8:13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240"/>
        <w:gridCol w:w="2360"/>
        <w:gridCol w:w="2285"/>
        <w:gridCol w:w="2315"/>
      </w:tblGrid>
      <w:tr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(unexcused)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20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500"/>
        <w:gridCol w:w="500"/>
        <w:gridCol w:w="500"/>
        <w:gridCol w:w="500"/>
      </w:tblGrid>
      <w:tr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Exit interviews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T-shirt (#6 design, small top left, black) Haley, Password changes, way to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kick butt at tabling, Regents May 14-15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SB News Press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Boxes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Regents May 14-15: Lily?, Giuseppe?</w:t>
      </w:r>
    </w:p>
    <w:p w:rsidP="00000000" w:rsidRPr="00000000" w:rsidR="00000000" w:rsidDel="00000000" w:rsidRDefault="00000000">
      <w:pPr>
        <w:ind w:firstLine="720"/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DO NOT TURN IN ARTICLES LATE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Town hall forum Friday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Divestment falsey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 regard to ice cream cones: “WHERE’S THE CHOCOLATE ONE, WHERE’S THE CHOCOLATE ONE”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 Website Reports: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in-progress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Buttons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Guidelines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Maggie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Content Review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Pretty paper is pretty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Next Year’s Editorial Board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Julia Marsh….Tell your friends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Contact Scott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Promoting TBL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Stickers for boxes, talk to commissions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End of the year party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9:02pm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29 Agenda.docx</dc:title>
</cp:coreProperties>
</file>