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0" w:colFirst="0" w:name="h.gnj3kt68ftas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1" w:colFirst="0" w:name="h.hcu7ziregv70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2/4/14, 8:15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00"/>
        <w:gridCol w:w="2300"/>
        <w:gridCol w:w="2285"/>
        <w:gridCol w:w="231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Allyson Werner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152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380"/>
        <w:gridCol w:w="380"/>
        <w:gridCol w:w="380"/>
        <w:gridCol w:w="38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pitches: drug use on campus/IV: poll use? (interactive--good for website--not just limited to students); Glenn Greenwald and mainstream vs. adversarial journalism (intercept.org); SB city Stage 1 drought (infographic), offshore fracking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Distribution apps, Green Bill fun, No word on boxes (will bug people), Beth (logo), Maggie (tripod)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Card for George (Allyson); convo about target audience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UCSB Students 18-24 year old, undergrad/grad, professors, alumni, surrounding community in Goleta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Offshore Fracking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Allyson: 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Drought fun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Taxation of Marijuana to fund education; Resolution addressing the rising cost of education; Calendar app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</w:t>
        <w:tab/>
        <w:t xml:space="preserve">Senior Layout Reports: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Website layout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Button logo and t-shirt logo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Bookstore gift card for whoever tables the most: prize amount, $50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Table 5 times: name gets added into a bowl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ab/>
        <w:t xml:space="preserve">Every time after that your name gets added once more 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Honor system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Journalism Societies and Conferences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 to Go. 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Rob, Beth, Allyson, Deanna, and Matt: please stay after to talk with Parisa and I about specifics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Cheyenne, Parisa, Rob, Beth, Allyson, Deanna, and Matt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Paper Review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Amanda’s Design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Chit chat about the t-shirt design. Please be honest and outspoken. 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Vote for the Design: Design rejected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Ethics Guidelines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do we want? What should we cover?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Relationship with Writers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https://www.nytimes.com/learning/general/specials/weblines/4111.html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hyperlink r:id="rId7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http://www.nytco.com/wp-content/uploads/NYT_Ethical_Journalism_0904-1.pdf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Cheyenne’s going home for oral surgery and will be not readily reachable after Thursday afternoon. Need something from her, needs to happen before then.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TIME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www.nytimes.com/learning/general/specials/weblines/4111.html" Type="http://schemas.openxmlformats.org/officeDocument/2006/relationships/hyperlink" TargetMode="External" Id="rId6"/><Relationship Target="https://socialimprints.com/items/2686-pc55-port-company-50-50-cotton-poly-t-shirt" Type="http://schemas.openxmlformats.org/officeDocument/2006/relationships/hyperlink" TargetMode="External" Id="rId5"/><Relationship Target="http://www.nytco.com/wp-content/uploads/NYT_Ethical_Journalism_0904-1.pdf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11 Agenda.docx</dc:title>
</cp:coreProperties>
</file>