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May 13,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8:05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Romeo Francisco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3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Kapatirang Pilipino $500 for food for Filipinos In Education Realizing Community Empowerment (FIERCE) event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La Escuelita $300 for food for Student Parent Conference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El Congreso $382 for food/supplies for Immigrant Day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IDEAS $336 for supplies/food for art event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5. Request to fund ONE campaign $250 for entertainment for “philanthropy week”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6. SCORE Internal Elections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Kapatirang Pilipino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SINGH/COVINGTON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Kapatirang Pilipino $400 for food for FIERCE event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La Escuelita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BETTENCOURT/SINGH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La Escuelita $250 for food for Student Parent Conference 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El Congreso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MARTINEZ/KAUR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El Congreso $350 for food and supplies for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Immigrant Day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IDEAS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IDEAS $300 for food and supplies for art event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ONE Campaign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SINGH/COVINGTON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ONE Campaign $200 for entertainment for “philanthropy week”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SCORE Internal Elections - Elected Officers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Co-chair: Raufin Khan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Co-chair: Navkiran Kaur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Ourstorian: Romeo Francisco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Outreach Coordinator: Allison Bettencourt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Finance Coordinator: Alonso Martinez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(Diversity Coordinator): Kyron Covington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SCORE Elections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SCORE Mixer next week May 20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10:05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5/13.docx</dc:title>
</cp:coreProperties>
</file>