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March 4,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Crystal Long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8:10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1. Request to reimburse $134.70 for food and supplies to Hani Tajsar for Facing Face.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reimbursement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Hani Tajsar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COVINGTON/LONG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reimburse $134.70 for food and supplies to Hani Tajsar for Facing Face.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Discussion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“Dissent within activist communities”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8:50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03-04-14.docx</dc:title>
</cp:coreProperties>
</file>