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February 11,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Crystal Long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called to order at 8:13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1. Request to fund $500 to UCSB Dhadkan for Nachle Deewane event.</w:t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2. Request to allocate $2021.66 to Social Imprints for Facing Race t-shirts.</w:t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3. Request to reimburse $100 to Prabjot Singh for initial deposit for food order for Facing Race.</w:t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4. Request to allocate $675 to Tlaquepaque Restaurant for food for Facing Race.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-1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-1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UCSB Dhadkan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KHAN/COVINGTON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Motion to fund $500 for decorations for Nachle Deewane event.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SINGH/LONG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allocate $2021.66 to Social Imprints for Facing Race t-shirts.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SINGH/COVINGTON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to reimburse $100 to Prabjot Singh for initial deposit for food order for Facing Race.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SINGH/LONG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Motion to allocate $675 to Tlaquepaque Restaurant for food for Facing Race.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“Beyond Brown” Screening 2/12 8pm MCC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IDEAS annual conference 2/15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APIPA Meetings Friday at 5PM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Facing Race is on Feb. 22 - workshop applications on Friday on tinyurl.com/facingrace2014-workshops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IDEAS endowment fund needs to get on spring elections ballot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G-2. Workshop Topic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“Language and Racism” by Anumita Kaur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9:12 PM by Angelica Cano.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02-11-14.docx</dc:title>
</cp:coreProperties>
</file>