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Wednesday, January 21, 2015, 6:00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Clara Perez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6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:05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(Excused)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Absent (Excused)</w:t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In attendance: Omar Matta (3rd Meeting)- Voting Member - YAY!! .</w:t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Melissa/ Clara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excuse Alejandro Sanchez and Bridgett Figueroa’s absences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report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5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report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440"/>
        </w:tabs>
        <w:spacing w:lineRule="auto" w:after="0" w:line="240" w:before="0"/>
        <w:ind w:left="135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KEYT3 Interview done today and daily nexus interview later today</w:t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Press release is out! YAY! 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Any other contacts we missed- Diana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talked about BCU’s, advisors, D-list, execs, all student list (University Announcements), FB, all supporters, county folk, town hall mailing list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send to IVTU members and AS members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Did not send translated version the first time. Need to edit translated version and resend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send changes to Diana - going to work on that tomorrow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make sure that it has been sent out to all those that say they are supporters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Petition- Goal 1,500 signiatures 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Everyone sign it/ post it to your Facebook page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Where else can we post the petition?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flyers, AS Main, sending it directly to the BCU’s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(contact for help), orgsync, senate (resolution?-Jimmy and Michelle)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Translate petition? -Check if change has spanish mode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Where should we circulate to get people to sign in person?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Petition in Arbor, GFP, UCEN, Feb/March 5th @ 3:30pm IV Elementary, St. Marks Sunday @ 10, 12, 7pm, St. Michaels - find out times, particular classes (check everyone’s classes and do those), Professor Kim Yasuda, Don Lubac, Ralph Armbruster, Mondays at 4:30pm St. Bridgett Fellowships 976 Embarcadero Del Mar, IVYP (Youth Projects) set up for tabling, IV Teen Center, CAB - Weekly Care Mail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Campaign name: Tenants Re-claiming Isla Vista Campaign (TRIV) 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Meeting with tenants on Monday- did not have it this past Monday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have one this Monday, Jan 26th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ask about the status of case practicing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Draft agenda - for the meeting with the tenants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 to over the forum Jan 28th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formulate questions with the tenants, before meeting and during the meeting discuss in more depth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Prepare for forum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360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speaker? or only families and people</w:t>
      </w:r>
    </w:p>
    <w:p w:rsidP="00000000" w:rsidRPr="00000000" w:rsidR="00000000" w:rsidDel="00000000" w:rsidRDefault="00000000">
      <w:pPr>
        <w:numPr>
          <w:ilvl w:val="1"/>
          <w:numId w:val="1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IVTU Housing Forum which will be held </w:t>
      </w:r>
      <w:r w:rsidRPr="00000000" w:rsidR="00000000" w:rsidDel="00000000">
        <w:rPr>
          <w:b w:val="1"/>
          <w:color w:val="222222"/>
          <w:sz w:val="20"/>
          <w:highlight w:val="white"/>
          <w:rtl w:val="0"/>
        </w:rPr>
        <w:t xml:space="preserve">next Wednesday, Jan 28th, 6-8pm @ Pardall Center</w:t>
      </w:r>
      <w:r w:rsidRPr="00000000" w:rsidR="00000000" w:rsidDel="00000000">
        <w:rPr>
          <w:color w:val="222222"/>
          <w:sz w:val="20"/>
          <w:highlight w:val="white"/>
          <w:rtl w:val="0"/>
        </w:rPr>
        <w:t xml:space="preserve">.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Draft an agenda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Purchase supplies for the signs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Childcare - Reach out to CAB?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Interpreting - Jesus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Facilitation - Raquel Lopez?       (Aaron has contacts)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Food - refreshments from IVFC or elsewhere (gift card, make a plan)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Sign-in list (print out)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Meet w/ Tenants next Monday to explain the plan (Clara is creating the agenda)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Invite Special guests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Event Promotion plan (news, social media, etc.)</w:t>
      </w:r>
    </w:p>
    <w:p w:rsidP="00000000" w:rsidRPr="00000000" w:rsidR="00000000" w:rsidDel="00000000" w:rsidRDefault="00000000">
      <w:pPr>
        <w:numPr>
          <w:ilvl w:val="2"/>
          <w:numId w:val="1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Participation with the people: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phone call (script): I support IVTU and the tenants of the evicted apartments, please give them benefits, etc. etc. 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sign making</w:t>
      </w:r>
    </w:p>
    <w:p w:rsidP="00000000" w:rsidRPr="00000000" w:rsidR="00000000" w:rsidDel="00000000" w:rsidRDefault="00000000">
      <w:pPr>
        <w:numPr>
          <w:ilvl w:val="3"/>
          <w:numId w:val="1"/>
        </w:numPr>
        <w:tabs>
          <w:tab w:val="left" w:pos="1440"/>
        </w:tabs>
        <w:spacing w:lineRule="auto" w:line="240"/>
        <w:ind w:left="360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signing the petition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Board’s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Bridgett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2"/>
        </w:numPr>
        <w:tabs>
          <w:tab w:val="left" w:pos="1440"/>
          <w:tab w:val="left" w:pos="2160"/>
        </w:tabs>
        <w:spacing w:lineRule="auto" w:after="0" w:line="240" w:before="0"/>
        <w:ind w:left="144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No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Clara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call the tenants tomorrow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No report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440"/>
        </w:tabs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1410"/>
          <w:tab w:val="left" w:pos="144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meet with Aaron on Friday to work on the Gaucho Food Program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Omar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agenda of 1/21/15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Clara/Omar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January 12, 2015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Clara/Omar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allocate no more than 700$ for the A.S. Bike fixing station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7:05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Clara/Omar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4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A.S. IVTU Minutes 1-21-15.docx</dc:title>
</cp:coreProperties>
</file>