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Monday, December 1, 2014, 5:00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Perez/Andrey Bogdanov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5:02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Cody Odening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Jon Nicoloff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Moreh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 (left early 5:23)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Omar Matta (2nd meeting).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Alejandro/Bridgett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excuse Melissa’s absence 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numPr>
          <w:ilvl w:val="1"/>
          <w:numId w:val="5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Sorry was not here last week - out of town</w:t>
      </w:r>
    </w:p>
    <w:p w:rsidP="00000000" w:rsidRPr="00000000" w:rsidR="00000000" w:rsidDel="00000000" w:rsidRDefault="00000000">
      <w:pPr>
        <w:numPr>
          <w:ilvl w:val="1"/>
          <w:numId w:val="5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student orgs are obligated to meet next week</w:t>
      </w:r>
    </w:p>
    <w:p w:rsidP="00000000" w:rsidRPr="00000000" w:rsidR="00000000" w:rsidDel="00000000" w:rsidRDefault="00000000">
      <w:pPr>
        <w:numPr>
          <w:ilvl w:val="2"/>
          <w:numId w:val="5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if you want to have a meeting - members are not penalized for showing up</w:t>
      </w:r>
    </w:p>
    <w:p w:rsidP="00000000" w:rsidRPr="00000000" w:rsidR="00000000" w:rsidDel="00000000" w:rsidRDefault="00000000">
      <w:pPr>
        <w:numPr>
          <w:ilvl w:val="1"/>
          <w:numId w:val="5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with Meli - did not get back until last week (but gone) - going to get together this week, postponing GFP for this week due to weather</w:t>
      </w:r>
    </w:p>
    <w:p w:rsidP="00000000" w:rsidRPr="00000000" w:rsidR="00000000" w:rsidDel="00000000" w:rsidRDefault="00000000">
      <w:pPr>
        <w:numPr>
          <w:ilvl w:val="1"/>
          <w:numId w:val="5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come back to the Teen Center agreement </w:t>
      </w:r>
    </w:p>
    <w:p w:rsidP="00000000" w:rsidRPr="00000000" w:rsidR="00000000" w:rsidDel="00000000" w:rsidRDefault="00000000">
      <w:pPr>
        <w:numPr>
          <w:ilvl w:val="1"/>
          <w:numId w:val="5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Good Luck with Finals!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numPr>
          <w:ilvl w:val="1"/>
          <w:numId w:val="5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Experienced colleague - James Tracey, working in Tenant/ Landlord program, eviction work and tenants rights</w:t>
      </w:r>
    </w:p>
    <w:p w:rsidP="00000000" w:rsidRPr="00000000" w:rsidR="00000000" w:rsidDel="00000000" w:rsidRDefault="00000000">
      <w:pPr>
        <w:numPr>
          <w:ilvl w:val="2"/>
          <w:numId w:val="5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Maybe having him come down to SB, if IVTU wanted to sponsor him to do a talk or workshop</w:t>
      </w:r>
    </w:p>
    <w:p w:rsidP="00000000" w:rsidRPr="00000000" w:rsidR="00000000" w:rsidDel="00000000" w:rsidRDefault="00000000">
      <w:pPr>
        <w:numPr>
          <w:ilvl w:val="2"/>
          <w:numId w:val="5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Great resource for IVTU</w:t>
      </w:r>
    </w:p>
    <w:p w:rsidP="00000000" w:rsidRPr="00000000" w:rsidR="00000000" w:rsidDel="00000000" w:rsidRDefault="00000000">
      <w:pPr>
        <w:numPr>
          <w:ilvl w:val="2"/>
          <w:numId w:val="5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asked him to send a bio, just finished doing a book tour</w:t>
      </w:r>
    </w:p>
    <w:p w:rsidP="00000000" w:rsidRPr="00000000" w:rsidR="00000000" w:rsidDel="00000000" w:rsidRDefault="00000000">
      <w:pPr>
        <w:numPr>
          <w:ilvl w:val="2"/>
          <w:numId w:val="5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Land Trust - Community-owned buildings</w:t>
      </w:r>
    </w:p>
    <w:p w:rsidP="00000000" w:rsidRPr="00000000" w:rsidR="00000000" w:rsidDel="00000000" w:rsidRDefault="00000000">
      <w:pPr>
        <w:numPr>
          <w:ilvl w:val="2"/>
          <w:numId w:val="5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Plan for a time and ask about format, or what kind of event we would like to have - Evictions Team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  <w:br w:type="textWrapping"/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Evictions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Official letter to the landlord sent - no response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Civil action campaign starting next week - press release, as widely accessible to the public, educational outreach program. Finalizing everything- FULL ATTACK MODE!! 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More to come later!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Current goals: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Help tenants win the case (compensation)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Strengthen the ordinance 4444 - to prevent these sort of cases from happening, protecting tenants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 an evictions-response protocol (with the proactive outreach element), putting it in writing and then following the procedures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Recruitment opportunity/ IVTU volunteer program - very broad public image, use efforts- long term. more opportunities for people to get involved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Gaucho Food Program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tabling this Wednesday - weather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Location change proposal, in motion right now.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Space in front of the Pardall Center reserved for the rest of the year - school year 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Strategic Plan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Bring a consultant to help guide the process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Expertise and time in building non-profit orgs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Locally and nationally 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Propose - look for a consultant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44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Retention rate: 1 year: 20%, 2 years: 10%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44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Weakens ability to create positive change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 a vision clear goals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Facilitate long term sustainability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Needs to be a little more structure, and planning - long run - those that come after us will be able to have a greater impact on the community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Case Manager and whatever we decide to do with that position, adapt other programs and resources to those ideas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Particular purpose and goal to everything we do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GFP- on hold, you will be able to do other projects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Evictions Team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Official letter being sent this Wednesday, November 19th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 week to respond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release press release, Alejandro - Daily Nexus, Clara - TBL - English/ Spanish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 do: 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 a petition for the public -  do not support owner’s activities, affects our community (must also translate into spanish)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440"/>
          <w:tab w:val="left" w:pos="216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Door-to-door, online, where we want to approach people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440"/>
          <w:tab w:val="left" w:pos="216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need EVERYONE’s efforts for this, want tenants to win their case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Publicly shame them, picketing outside of building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440"/>
          <w:tab w:val="left" w:pos="216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Action is not happening until Winter 2015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  <w:tab w:val="left" w:pos="2160"/>
        </w:tabs>
        <w:spacing w:lineRule="auto" w:line="240"/>
        <w:ind w:left="2160" w:hanging="44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Freshmen housing applications, workshops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Winter 2015 project 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Freshmen outreach efforts - CHO will be working on it next quarter, we should really focus on it too!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Recruitment, freshman education, and volunteer-program goals can be combined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Purchase a Table Cloth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 has the requisition, will submit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  <w:tab w:val="left" w:pos="2135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Purchase a large map of IV for the IVTU office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  <w:tab w:val="left" w:pos="2135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show everyone the map! </w:t>
      </w:r>
    </w:p>
    <w:p w:rsidP="00000000" w:rsidRPr="00000000" w:rsidR="00000000" w:rsidDel="00000000" w:rsidRDefault="00000000">
      <w:pPr>
        <w:numPr>
          <w:ilvl w:val="3"/>
          <w:numId w:val="2"/>
        </w:numPr>
        <w:tabs>
          <w:tab w:val="left" w:pos="1440"/>
          <w:tab w:val="left" w:pos="2135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Take Measurements and order from an outside vendor.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Evictions - tenants signer the rest of the paperwork for small claims court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Cody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Fridge magnets - all ready to go, need to turn in the Req. form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GIVE wants to present next week, already turned in their form - but no meeting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Shirts are being made, should be ready by the time we get out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Expect a lot more Small and Medium sizes</w:t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Jon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Business Cards - YAY!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Vendor who did them - right across the street, whenever we need them - they are right there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They have arrived</w:t>
      </w:r>
    </w:p>
    <w:p w:rsidP="00000000" w:rsidRPr="00000000" w:rsidR="00000000" w:rsidDel="00000000" w:rsidRDefault="00000000">
      <w:pPr>
        <w:tabs>
          <w:tab w:val="left" w:pos="1440"/>
          <w:tab w:val="left" w:pos="216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 - Absent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Alex/Clara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November 24th, 2014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Alejandro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move forward with the IVTU Strategic Plan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1st IVTU Retreat - January 10th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5:53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 Clara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A.S. IVTU Minutes 1-5-15.docx</dc:title>
</cp:coreProperties>
</file>