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COVO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2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 11/2/2020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 xml:space="preserve">Zoom</w:t>
        <w:tab/>
        <w:tab/>
        <w:t xml:space="preserve">Minutes/Actions recorded by: Niku Farhangi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7:00 PM by Leanne Lam,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Shannon Adler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Leanne Lam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Co-Chair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resent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Jared Regan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Tam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Treasurer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Claire Chen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Co-Chair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1.982421875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Niku Farhangi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Secretary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Natalie Tjahadi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Board Member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Pre-entered 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Lam/Chen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Introductions, CoVo brief overview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Grant discussion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Overview of process and roles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Due date set for 11/13/20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discussion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over several days</w:t>
      </w:r>
    </w:p>
    <w:p w:rsidR="00000000" w:rsidDel="00000000" w:rsidP="00000000" w:rsidRDefault="00000000" w:rsidRPr="00000000" w14:paraId="0000006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possibly week 7 or 8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Scheduling discussion 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time is good meeting time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of best communication methods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Chen/Lam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CONSENT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7:30 pm</w:t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rV+3Qn5f5sScUCqseFLgB5KYxA==">AMUW2mW5oY9qvJSs3PwMJ0+6pk3rAZbAzC9w1NjtDUvtO9epvOEzCsfO0G2QI1H+HKRdULSc4AF49d4eb6anNPiGFH9TnSxNiVbyxlAKS1wB4ZpH3iMgSMa4Kk0fUR0onlJdQgcihprc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2020-11-03T04:32:00Z</dcterms:created>
</cp:coreProperties>
</file>