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Wednesday February 5th</w:t>
      </w:r>
      <w:r w:rsidRPr="00000000" w:rsidR="00000000" w:rsidDel="00000000">
        <w:rPr>
          <w:rtl w:val="0"/>
        </w:rPr>
        <w:t xml:space="preserve">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5:00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5:00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strike w:val="1"/>
        </w:rPr>
      </w:pPr>
      <w:r w:rsidRPr="00000000" w:rsidR="00000000" w:rsidDel="00000000">
        <w:rPr>
          <w:strike w:val="1"/>
          <w:rtl w:val="0"/>
        </w:rPr>
        <w:t xml:space="preserve">Erika Hudiono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PC Building Workshop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we have a lot of donated computers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need a room and food to attract guests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need to set a date and advertise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Brainstorm formats for holding it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Major Class requirements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Internships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Popular Android game development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5:50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2/5/14.docx</dc:title>
</cp:coreProperties>
</file>